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247368E7" w:rsidR="00D54E12" w:rsidRPr="000A273A" w:rsidRDefault="00D54E12" w:rsidP="0038551D">
      <w:pPr>
        <w:tabs>
          <w:tab w:val="left" w:pos="2127"/>
        </w:tabs>
        <w:spacing w:before="120" w:line="240" w:lineRule="auto"/>
        <w:ind w:left="2127" w:hanging="2127"/>
        <w:rPr>
          <w:rFonts w:cs="Arial"/>
          <w:b/>
          <w:sz w:val="24"/>
        </w:rPr>
      </w:pPr>
      <w:r w:rsidRPr="000A273A">
        <w:rPr>
          <w:rFonts w:cs="Arial"/>
          <w:b/>
          <w:sz w:val="24"/>
        </w:rPr>
        <w:t>Source:</w:t>
      </w:r>
      <w:r w:rsidRPr="000A273A">
        <w:rPr>
          <w:rFonts w:cs="Arial"/>
          <w:b/>
          <w:sz w:val="24"/>
        </w:rPr>
        <w:tab/>
      </w:r>
      <w:r w:rsidR="00FF0FE3" w:rsidRPr="000A273A">
        <w:rPr>
          <w:rFonts w:cs="Arial"/>
          <w:b/>
          <w:sz w:val="24"/>
        </w:rPr>
        <w:t>Orange</w:t>
      </w:r>
    </w:p>
    <w:p w14:paraId="34B5CAF3" w14:textId="7251F7B4" w:rsidR="00D54E12" w:rsidRPr="000A273A" w:rsidRDefault="00FB7F60" w:rsidP="0038551D">
      <w:pPr>
        <w:tabs>
          <w:tab w:val="left" w:pos="2127"/>
        </w:tabs>
        <w:spacing w:line="240" w:lineRule="auto"/>
        <w:ind w:left="2131" w:hanging="2131"/>
        <w:rPr>
          <w:rFonts w:cs="Arial"/>
          <w:b/>
          <w:sz w:val="24"/>
          <w:lang w:eastAsia="zh-CN"/>
        </w:rPr>
      </w:pPr>
      <w:r w:rsidRPr="000A273A">
        <w:rPr>
          <w:rFonts w:cs="Arial"/>
          <w:b/>
          <w:sz w:val="24"/>
        </w:rPr>
        <w:t>Title:</w:t>
      </w:r>
      <w:r w:rsidRPr="000A273A">
        <w:rPr>
          <w:rFonts w:cs="Arial"/>
          <w:b/>
          <w:sz w:val="24"/>
        </w:rPr>
        <w:tab/>
      </w:r>
      <w:r w:rsidR="009B4327" w:rsidRPr="000A273A">
        <w:rPr>
          <w:rFonts w:cs="Arial"/>
          <w:b/>
          <w:sz w:val="24"/>
        </w:rPr>
        <w:t>Clarifications on testing with loudspeaker array and turn table</w:t>
      </w:r>
    </w:p>
    <w:p w14:paraId="3D37A61E" w14:textId="39298B8F" w:rsidR="00D54E12" w:rsidRPr="000A273A" w:rsidRDefault="00D54E12" w:rsidP="0038551D">
      <w:pPr>
        <w:pStyle w:val="Titre2"/>
        <w:spacing w:line="240" w:lineRule="auto"/>
        <w:rPr>
          <w:rFonts w:cs="Arial"/>
          <w:lang w:val="en-GB"/>
        </w:rPr>
      </w:pPr>
      <w:r w:rsidRPr="000A273A">
        <w:rPr>
          <w:rFonts w:cs="Arial"/>
          <w:lang w:val="en-GB"/>
        </w:rPr>
        <w:t>Document for:</w:t>
      </w:r>
      <w:r w:rsidRPr="000A273A">
        <w:rPr>
          <w:rFonts w:cs="Arial"/>
          <w:lang w:val="en-GB"/>
        </w:rPr>
        <w:tab/>
      </w:r>
      <w:r w:rsidR="009B4327" w:rsidRPr="000A273A">
        <w:rPr>
          <w:rFonts w:cs="Arial"/>
          <w:lang w:val="en-GB"/>
        </w:rPr>
        <w:t>Discussion</w:t>
      </w:r>
    </w:p>
    <w:p w14:paraId="1AEC9E93" w14:textId="4B8091EE" w:rsidR="00D54E12" w:rsidRPr="000A273A" w:rsidRDefault="00D54E12" w:rsidP="0038551D">
      <w:pPr>
        <w:pStyle w:val="Titre2"/>
        <w:spacing w:line="240" w:lineRule="auto"/>
        <w:rPr>
          <w:rFonts w:cs="Arial"/>
          <w:lang w:val="en-GB"/>
        </w:rPr>
      </w:pPr>
      <w:r w:rsidRPr="000A273A">
        <w:rPr>
          <w:rFonts w:cs="Arial"/>
          <w:lang w:val="en-GB"/>
        </w:rPr>
        <w:t>Agenda Item:</w:t>
      </w:r>
      <w:r w:rsidRPr="000A273A">
        <w:rPr>
          <w:rFonts w:cs="Arial"/>
          <w:lang w:val="en-GB"/>
        </w:rPr>
        <w:tab/>
      </w:r>
      <w:r w:rsidR="00FF0FE3" w:rsidRPr="000A273A">
        <w:rPr>
          <w:rFonts w:cs="Arial"/>
          <w:lang w:val="en-GB"/>
        </w:rPr>
        <w:t>7.</w:t>
      </w:r>
      <w:r w:rsidR="009B4327" w:rsidRPr="000A273A">
        <w:rPr>
          <w:rFonts w:cs="Arial"/>
          <w:lang w:val="en-GB"/>
        </w:rPr>
        <w:t>5</w:t>
      </w:r>
    </w:p>
    <w:p w14:paraId="028C206F" w14:textId="77777777" w:rsidR="00D54E12" w:rsidRPr="000A273A" w:rsidRDefault="00D54E12" w:rsidP="0038551D">
      <w:pPr>
        <w:pBdr>
          <w:top w:val="single" w:sz="12" w:space="1" w:color="auto"/>
        </w:pBdr>
        <w:spacing w:after="0" w:line="240" w:lineRule="auto"/>
        <w:rPr>
          <w:rFonts w:cs="Arial"/>
          <w:sz w:val="20"/>
        </w:rPr>
      </w:pPr>
    </w:p>
    <w:p w14:paraId="7061535E" w14:textId="77777777" w:rsidR="00FF0FE3" w:rsidRPr="000A273A" w:rsidRDefault="00FF0FE3" w:rsidP="0038551D">
      <w:pPr>
        <w:pBdr>
          <w:top w:val="single" w:sz="12" w:space="1" w:color="auto"/>
        </w:pBdr>
        <w:spacing w:after="0" w:line="240" w:lineRule="auto"/>
        <w:rPr>
          <w:rFonts w:cs="Arial"/>
          <w:sz w:val="20"/>
        </w:rPr>
      </w:pPr>
    </w:p>
    <w:p w14:paraId="308229D4" w14:textId="77777777" w:rsidR="00FF0FE3" w:rsidRPr="000A273A" w:rsidRDefault="00FF0FE3" w:rsidP="00FF0FE3">
      <w:pPr>
        <w:keepNext/>
        <w:numPr>
          <w:ilvl w:val="0"/>
          <w:numId w:val="9"/>
        </w:numPr>
        <w:outlineLvl w:val="1"/>
        <w:rPr>
          <w:rFonts w:cs="Arial"/>
          <w:b/>
          <w:sz w:val="24"/>
          <w:szCs w:val="24"/>
        </w:rPr>
      </w:pPr>
      <w:r w:rsidRPr="000A273A">
        <w:rPr>
          <w:rFonts w:cs="Arial"/>
          <w:b/>
          <w:sz w:val="24"/>
        </w:rPr>
        <w:t>Introduction</w:t>
      </w:r>
    </w:p>
    <w:p w14:paraId="5FE7EA29" w14:textId="4FFD5D91" w:rsidR="00FF0FE3" w:rsidRPr="000A273A" w:rsidRDefault="00FF0FE3" w:rsidP="00FF0FE3">
      <w:pPr>
        <w:rPr>
          <w:rFonts w:cs="Arial"/>
        </w:rPr>
      </w:pPr>
      <w:r w:rsidRPr="000A273A">
        <w:rPr>
          <w:rFonts w:cs="Arial"/>
        </w:rPr>
        <w:t xml:space="preserve">At the </w:t>
      </w:r>
      <w:r w:rsidR="009B4327" w:rsidRPr="000A273A">
        <w:rPr>
          <w:rFonts w:cs="Arial"/>
        </w:rPr>
        <w:t>Audio SWG AH telco on Oct. 21, 2022, S4aA220018 raised some questions on one test method in TS 26.260. The present Tdoc brings some clarifications for discussion</w:t>
      </w:r>
      <w:r w:rsidR="002B62F6">
        <w:rPr>
          <w:rFonts w:cs="Arial"/>
        </w:rPr>
        <w:t>;</w:t>
      </w:r>
      <w:r w:rsidR="009B4327" w:rsidRPr="000A273A">
        <w:rPr>
          <w:rFonts w:cs="Arial"/>
        </w:rPr>
        <w:t xml:space="preserve"> if necessary</w:t>
      </w:r>
      <w:r w:rsidR="002B62F6">
        <w:rPr>
          <w:rFonts w:cs="Arial"/>
        </w:rPr>
        <w:t>,</w:t>
      </w:r>
      <w:r w:rsidR="009B4327" w:rsidRPr="000A273A">
        <w:rPr>
          <w:rFonts w:cs="Arial"/>
        </w:rPr>
        <w:t xml:space="preserve"> a CR to 26.260 could be prepared.</w:t>
      </w:r>
    </w:p>
    <w:p w14:paraId="694B6B45" w14:textId="77777777" w:rsidR="00FF0FE3" w:rsidRPr="000A273A" w:rsidRDefault="00FF0FE3" w:rsidP="00FF0FE3">
      <w:pPr>
        <w:rPr>
          <w:rFonts w:cs="Arial"/>
          <w:color w:val="4F81BD" w:themeColor="accent1"/>
        </w:rPr>
      </w:pPr>
    </w:p>
    <w:p w14:paraId="5941E119" w14:textId="2DC4E657" w:rsidR="00FF0FE3" w:rsidRPr="000A273A" w:rsidRDefault="009B4327" w:rsidP="00FF0FE3">
      <w:pPr>
        <w:keepNext/>
        <w:numPr>
          <w:ilvl w:val="0"/>
          <w:numId w:val="9"/>
        </w:numPr>
        <w:tabs>
          <w:tab w:val="left" w:pos="2127"/>
        </w:tabs>
        <w:outlineLvl w:val="1"/>
        <w:rPr>
          <w:rFonts w:cs="Arial"/>
          <w:b/>
          <w:sz w:val="24"/>
        </w:rPr>
      </w:pPr>
      <w:r w:rsidRPr="000A273A">
        <w:rPr>
          <w:rFonts w:cs="Arial"/>
          <w:b/>
          <w:sz w:val="24"/>
        </w:rPr>
        <w:t>Discussion</w:t>
      </w:r>
    </w:p>
    <w:p w14:paraId="7AAE9DA9" w14:textId="77777777" w:rsidR="009B4327" w:rsidRPr="000A273A" w:rsidRDefault="009B4327" w:rsidP="00FF0FE3">
      <w:pPr>
        <w:rPr>
          <w:rFonts w:cs="Arial"/>
        </w:rPr>
      </w:pPr>
    </w:p>
    <w:p w14:paraId="0DB1120B" w14:textId="17029574" w:rsidR="009B4327" w:rsidRPr="000A273A" w:rsidRDefault="009B4327" w:rsidP="009B4327">
      <w:pPr>
        <w:keepNext/>
        <w:numPr>
          <w:ilvl w:val="1"/>
          <w:numId w:val="0"/>
        </w:numPr>
        <w:tabs>
          <w:tab w:val="num" w:pos="576"/>
        </w:tabs>
        <w:spacing w:before="240" w:after="360" w:line="240" w:lineRule="auto"/>
        <w:ind w:left="1152" w:rightChars="100" w:right="220" w:hanging="576"/>
        <w:outlineLvl w:val="1"/>
        <w:rPr>
          <w:rFonts w:eastAsia="MS Gothic" w:cs="Arial"/>
          <w:b/>
          <w:color w:val="4F81BD" w:themeColor="accent1"/>
          <w:sz w:val="24"/>
          <w:szCs w:val="24"/>
        </w:rPr>
      </w:pPr>
      <w:r w:rsidRPr="000A273A">
        <w:rPr>
          <w:rFonts w:eastAsia="MS Gothic" w:cs="Arial"/>
          <w:b/>
          <w:color w:val="4F81BD" w:themeColor="accent1"/>
          <w:sz w:val="24"/>
          <w:szCs w:val="24"/>
        </w:rPr>
        <w:t>2.2 Diffuse-field send frequency response test using loudspeaker array and turn table (26.260 clause 4.1.1.4)</w:t>
      </w:r>
    </w:p>
    <w:p w14:paraId="5D0DF381" w14:textId="77777777" w:rsidR="009B4327" w:rsidRPr="000A273A" w:rsidRDefault="009B4327" w:rsidP="009B4327">
      <w:pPr>
        <w:rPr>
          <w:rFonts w:eastAsia="Arial" w:cs="Arial"/>
          <w:color w:val="4F81BD" w:themeColor="accent1"/>
          <w:sz w:val="20"/>
        </w:rPr>
      </w:pPr>
      <w:r w:rsidRPr="000A273A">
        <w:rPr>
          <w:rFonts w:eastAsia="Arial" w:cs="Arial"/>
          <w:color w:val="4F81BD" w:themeColor="accent1"/>
          <w:sz w:val="20"/>
        </w:rPr>
        <w:t xml:space="preserve">It is not clear from 26.260 if also this method measures the send frequency response </w:t>
      </w:r>
      <m:oMath>
        <m:r>
          <w:rPr>
            <w:rFonts w:ascii="Cambria Math" w:eastAsia="Arial" w:hAnsi="Cambria Math" w:cs="Arial"/>
            <w:color w:val="4F81BD" w:themeColor="accent1"/>
            <w:sz w:val="20"/>
          </w:rPr>
          <m:t>G(f)</m:t>
        </m:r>
      </m:oMath>
      <w:r w:rsidRPr="000A273A">
        <w:rPr>
          <w:rFonts w:eastAsia="Arial" w:cs="Arial"/>
          <w:color w:val="4F81BD" w:themeColor="accent1"/>
          <w:sz w:val="20"/>
        </w:rPr>
        <w:t xml:space="preserve"> of the omnidirectional sound field component. It is here assumed that this is an alternative method with a loudspeaker array and turn table. Like in the first method </w:t>
      </w:r>
      <m:oMath>
        <m:r>
          <w:rPr>
            <w:rFonts w:ascii="Cambria Math" w:eastAsia="Arial" w:hAnsi="Cambria Math" w:cs="Arial"/>
            <w:color w:val="4F81BD" w:themeColor="accent1"/>
            <w:sz w:val="20"/>
          </w:rPr>
          <m:t>G(f)</m:t>
        </m:r>
      </m:oMath>
      <w:r w:rsidRPr="000A273A">
        <w:rPr>
          <w:rFonts w:eastAsia="Arial" w:cs="Arial"/>
          <w:color w:val="4F81BD" w:themeColor="accent1"/>
          <w:sz w:val="20"/>
        </w:rPr>
        <w:t xml:space="preserve"> is measured by evaluating the captured sound pressure spectrum of a DUT compared to a reference diffuse field/random incidence microphone. The main difference is that the method carries out repeated measurements where in each run a test stimulus is played only from a single speaker at a time. In this method an exponential sweep sine signal is used as test signal rather than pink noise. The procedure further builds upon impulse response measurements from which magnitude spectra of the sound pressure (for DuT and reference microphone) are derived, from which then the send frequency response is calculated.</w:t>
      </w:r>
    </w:p>
    <w:p w14:paraId="7B438EF3" w14:textId="77777777" w:rsidR="009B4327" w:rsidRPr="000A273A" w:rsidRDefault="009B4327" w:rsidP="009B4327">
      <w:pPr>
        <w:rPr>
          <w:rFonts w:eastAsia="Arial" w:cs="Arial"/>
          <w:color w:val="4F81BD" w:themeColor="accent1"/>
          <w:sz w:val="20"/>
        </w:rPr>
      </w:pPr>
      <w:r w:rsidRPr="000A273A">
        <w:rPr>
          <w:rFonts w:eastAsia="Arial" w:cs="Arial"/>
          <w:color w:val="4F81BD" w:themeColor="accent1"/>
          <w:sz w:val="20"/>
        </w:rPr>
        <w:t>The specification is unclear on the following aspects:</w:t>
      </w:r>
    </w:p>
    <w:p w14:paraId="69D0007A" w14:textId="77777777" w:rsidR="009B4327" w:rsidRPr="000A273A" w:rsidRDefault="009B4327" w:rsidP="009B4327">
      <w:pPr>
        <w:widowControl/>
        <w:numPr>
          <w:ilvl w:val="0"/>
          <w:numId w:val="12"/>
        </w:numPr>
        <w:spacing w:after="0" w:line="240" w:lineRule="auto"/>
        <w:rPr>
          <w:rFonts w:eastAsia="Calibri" w:cs="Arial"/>
          <w:color w:val="4F81BD" w:themeColor="accent1"/>
          <w:szCs w:val="22"/>
          <w:lang w:val="en-US"/>
        </w:rPr>
      </w:pPr>
      <w:r w:rsidRPr="000A273A">
        <w:rPr>
          <w:rFonts w:eastAsia="Calibri" w:cs="Arial"/>
          <w:color w:val="4F81BD" w:themeColor="accent1"/>
          <w:szCs w:val="22"/>
          <w:lang w:val="en-US"/>
        </w:rPr>
        <w:t>Why using a sweep sine test signal rather than pink noise or speech and why taking the detour through impulse response calculation?</w:t>
      </w:r>
    </w:p>
    <w:p w14:paraId="6BAF406E" w14:textId="77777777" w:rsidR="009B4327" w:rsidRPr="000A273A" w:rsidRDefault="009B4327" w:rsidP="009B4327">
      <w:pPr>
        <w:widowControl/>
        <w:numPr>
          <w:ilvl w:val="0"/>
          <w:numId w:val="12"/>
        </w:numPr>
        <w:spacing w:after="0" w:line="240" w:lineRule="auto"/>
        <w:rPr>
          <w:rFonts w:eastAsia="Calibri" w:cs="Arial"/>
          <w:color w:val="4F81BD" w:themeColor="accent1"/>
          <w:szCs w:val="22"/>
          <w:lang w:val="en-US"/>
        </w:rPr>
      </w:pPr>
      <w:r w:rsidRPr="000A273A">
        <w:rPr>
          <w:rFonts w:eastAsia="Calibri" w:cs="Arial"/>
          <w:color w:val="4F81BD" w:themeColor="accent1"/>
          <w:szCs w:val="22"/>
          <w:lang w:val="en-US"/>
        </w:rPr>
        <w:t xml:space="preserve">As there are measurements for each of the </w:t>
      </w:r>
      <m:oMath>
        <m:r>
          <w:rPr>
            <w:rFonts w:ascii="Cambria Math" w:eastAsia="Calibri" w:hAnsi="Cambria Math" w:cs="Arial"/>
            <w:color w:val="4F81BD" w:themeColor="accent1"/>
            <w:szCs w:val="22"/>
            <w:lang w:val="en-US"/>
          </w:rPr>
          <m:t>2</m:t>
        </m:r>
        <m:sSup>
          <m:sSupPr>
            <m:ctrlPr>
              <w:rPr>
                <w:rFonts w:ascii="Cambria Math" w:eastAsia="Calibri" w:hAnsi="Cambria Math" w:cs="Arial"/>
                <w:i/>
                <w:color w:val="4F81BD" w:themeColor="accent1"/>
                <w:szCs w:val="22"/>
                <w:lang w:val="en-US"/>
              </w:rPr>
            </m:ctrlPr>
          </m:sSupPr>
          <m:e>
            <m:d>
              <m:dPr>
                <m:ctrlPr>
                  <w:rPr>
                    <w:rFonts w:ascii="Cambria Math" w:eastAsia="Calibri" w:hAnsi="Cambria Math" w:cs="Arial"/>
                    <w:i/>
                    <w:color w:val="4F81BD" w:themeColor="accent1"/>
                    <w:szCs w:val="22"/>
                    <w:lang w:val="en-US"/>
                  </w:rPr>
                </m:ctrlPr>
              </m:dPr>
              <m:e>
                <m:r>
                  <w:rPr>
                    <w:rFonts w:ascii="Cambria Math" w:eastAsia="Calibri" w:hAnsi="Cambria Math" w:cs="Arial"/>
                    <w:color w:val="4F81BD" w:themeColor="accent1"/>
                    <w:szCs w:val="22"/>
                    <w:lang w:val="en-US"/>
                  </w:rPr>
                  <m:t>N+1</m:t>
                </m:r>
              </m:e>
            </m:d>
          </m:e>
          <m:sup>
            <m:r>
              <w:rPr>
                <w:rFonts w:ascii="Cambria Math" w:eastAsia="Calibri" w:hAnsi="Cambria Math" w:cs="Arial"/>
                <w:color w:val="4F81BD" w:themeColor="accent1"/>
                <w:szCs w:val="22"/>
                <w:lang w:val="en-US"/>
              </w:rPr>
              <m:t>2</m:t>
            </m:r>
          </m:sup>
        </m:sSup>
      </m:oMath>
      <w:r w:rsidRPr="000A273A">
        <w:rPr>
          <w:rFonts w:eastAsia="Calibri" w:cs="Arial"/>
          <w:color w:val="4F81BD" w:themeColor="accent1"/>
          <w:szCs w:val="22"/>
          <w:lang w:val="en-US"/>
        </w:rPr>
        <w:t xml:space="preserve"> loudspeaker positions, one </w:t>
      </w:r>
      <m:oMath>
        <m:r>
          <w:rPr>
            <w:rFonts w:ascii="Cambria Math" w:eastAsia="Calibri" w:hAnsi="Cambria Math" w:cs="Arial"/>
            <w:color w:val="4F81BD" w:themeColor="accent1"/>
            <w:szCs w:val="22"/>
            <w:lang w:val="en-US"/>
          </w:rPr>
          <m:t>G(f)</m:t>
        </m:r>
      </m:oMath>
      <w:r w:rsidRPr="000A273A">
        <w:rPr>
          <w:rFonts w:eastAsia="Calibri" w:cs="Arial"/>
          <w:color w:val="4F81BD" w:themeColor="accent1"/>
          <w:szCs w:val="22"/>
          <w:lang w:val="en-US"/>
        </w:rPr>
        <w:t xml:space="preserve"> measurement is obtained for each of them. It is not clear how or if a direction independent diffuse-field send frequency response is obtained. If the idea is that the measurements from all directions are averaged, then it is not expressed how exactly this should be done.</w:t>
      </w:r>
    </w:p>
    <w:p w14:paraId="3D479C52" w14:textId="77777777" w:rsidR="009B4327" w:rsidRPr="000A273A" w:rsidRDefault="009B4327" w:rsidP="009B4327">
      <w:pPr>
        <w:widowControl/>
        <w:numPr>
          <w:ilvl w:val="0"/>
          <w:numId w:val="12"/>
        </w:numPr>
        <w:spacing w:after="0" w:line="240" w:lineRule="auto"/>
        <w:rPr>
          <w:rFonts w:eastAsia="Calibri" w:cs="Arial"/>
          <w:color w:val="4F81BD" w:themeColor="accent1"/>
          <w:szCs w:val="22"/>
          <w:lang w:val="en-US"/>
        </w:rPr>
      </w:pPr>
      <w:r w:rsidRPr="000A273A">
        <w:rPr>
          <w:rFonts w:eastAsia="Calibri" w:cs="Arial"/>
          <w:color w:val="4F81BD" w:themeColor="accent1"/>
          <w:szCs w:val="22"/>
          <w:lang w:val="en-US"/>
        </w:rPr>
        <w:t xml:space="preserve">It is not clear if the measurements are done only for the omnidirectional Ambisonics component W or if other components e.g. after B-format to ESD conversion should be considered. </w:t>
      </w:r>
    </w:p>
    <w:p w14:paraId="7F44C00A" w14:textId="77777777" w:rsidR="009B4327" w:rsidRPr="000A273A" w:rsidRDefault="009B4327" w:rsidP="009B4327">
      <w:pPr>
        <w:widowControl/>
        <w:numPr>
          <w:ilvl w:val="0"/>
          <w:numId w:val="12"/>
        </w:numPr>
        <w:spacing w:after="0" w:line="240" w:lineRule="auto"/>
        <w:rPr>
          <w:rFonts w:eastAsia="Calibri" w:cs="Arial"/>
          <w:color w:val="4F81BD" w:themeColor="accent1"/>
          <w:szCs w:val="22"/>
          <w:lang w:val="en-US"/>
        </w:rPr>
      </w:pPr>
      <w:r w:rsidRPr="000A273A">
        <w:rPr>
          <w:rFonts w:eastAsia="Calibri" w:cs="Arial"/>
          <w:color w:val="4F81BD" w:themeColor="accent1"/>
          <w:szCs w:val="22"/>
          <w:lang w:val="en-US"/>
        </w:rPr>
        <w:t xml:space="preserve">The connection to Figure 1 is unclear especially on the aspect of the sound field (re-)synthesis. </w:t>
      </w:r>
    </w:p>
    <w:p w14:paraId="72D49610" w14:textId="75C56FDE" w:rsidR="0093563D" w:rsidRPr="000A273A" w:rsidRDefault="0093563D" w:rsidP="0093563D">
      <w:pPr>
        <w:rPr>
          <w:rFonts w:cs="Arial"/>
          <w:lang w:val="en-US"/>
        </w:rPr>
      </w:pPr>
    </w:p>
    <w:p w14:paraId="4502E2E7" w14:textId="7312A6B2" w:rsidR="00D51800" w:rsidRPr="002B62F6" w:rsidRDefault="00BF5B76" w:rsidP="00D51800">
      <w:pPr>
        <w:rPr>
          <w:rFonts w:cs="Arial"/>
          <w:b/>
          <w:bCs/>
          <w:szCs w:val="22"/>
          <w:lang w:val="en-US"/>
        </w:rPr>
      </w:pPr>
      <w:r w:rsidRPr="002B62F6">
        <w:rPr>
          <w:rFonts w:cs="Arial"/>
          <w:b/>
          <w:bCs/>
          <w:szCs w:val="22"/>
          <w:lang w:val="en-US"/>
        </w:rPr>
        <w:t>Clarifications:</w:t>
      </w:r>
    </w:p>
    <w:p w14:paraId="56A45721" w14:textId="77777777" w:rsidR="000B0074" w:rsidRPr="002B62F6" w:rsidRDefault="009B4327" w:rsidP="000B0074">
      <w:pPr>
        <w:pStyle w:val="Paragraphedeliste"/>
        <w:numPr>
          <w:ilvl w:val="0"/>
          <w:numId w:val="13"/>
        </w:numPr>
        <w:rPr>
          <w:rFonts w:ascii="Arial" w:hAnsi="Arial" w:cs="Arial"/>
          <w:sz w:val="22"/>
          <w:szCs w:val="22"/>
        </w:rPr>
      </w:pPr>
      <w:r w:rsidRPr="002B62F6">
        <w:rPr>
          <w:rFonts w:ascii="Arial" w:hAnsi="Arial" w:cs="Arial"/>
          <w:sz w:val="22"/>
          <w:szCs w:val="22"/>
        </w:rPr>
        <w:t xml:space="preserve">The sweep sine test signal is used to </w:t>
      </w:r>
      <w:r w:rsidR="000B0074" w:rsidRPr="002B62F6">
        <w:rPr>
          <w:rFonts w:ascii="Arial" w:hAnsi="Arial" w:cs="Arial"/>
          <w:sz w:val="22"/>
          <w:szCs w:val="22"/>
        </w:rPr>
        <w:t>reduce time test using multiple overlapped delayed</w:t>
      </w:r>
    </w:p>
    <w:p w14:paraId="73689D87" w14:textId="68016AFF" w:rsidR="000B0074" w:rsidRPr="002B62F6" w:rsidRDefault="00384BC4" w:rsidP="000B0074">
      <w:pPr>
        <w:pStyle w:val="Paragraphedeliste"/>
        <w:rPr>
          <w:rFonts w:ascii="Arial" w:hAnsi="Arial" w:cs="Arial"/>
          <w:sz w:val="22"/>
          <w:szCs w:val="22"/>
        </w:rPr>
      </w:pPr>
      <w:r>
        <w:rPr>
          <w:rFonts w:ascii="Arial" w:hAnsi="Arial" w:cs="Arial"/>
          <w:sz w:val="22"/>
          <w:szCs w:val="22"/>
        </w:rPr>
        <w:t>s</w:t>
      </w:r>
      <w:r w:rsidR="000B0074" w:rsidRPr="002B62F6">
        <w:rPr>
          <w:rFonts w:ascii="Arial" w:hAnsi="Arial" w:cs="Arial"/>
          <w:sz w:val="22"/>
          <w:szCs w:val="22"/>
        </w:rPr>
        <w:t>weep</w:t>
      </w:r>
      <w:r>
        <w:rPr>
          <w:rFonts w:ascii="Arial" w:hAnsi="Arial" w:cs="Arial"/>
          <w:sz w:val="22"/>
          <w:szCs w:val="22"/>
        </w:rPr>
        <w:t>s</w:t>
      </w:r>
      <w:r w:rsidR="000B0074" w:rsidRPr="002B62F6">
        <w:rPr>
          <w:rFonts w:ascii="Arial" w:hAnsi="Arial" w:cs="Arial"/>
          <w:sz w:val="22"/>
          <w:szCs w:val="22"/>
        </w:rPr>
        <w:t xml:space="preserve"> – see [2]</w:t>
      </w:r>
      <w:r w:rsidR="00EE02F9" w:rsidRPr="002B62F6">
        <w:rPr>
          <w:rFonts w:ascii="Arial" w:hAnsi="Arial" w:cs="Arial"/>
          <w:sz w:val="22"/>
          <w:szCs w:val="22"/>
        </w:rPr>
        <w:t xml:space="preserve"> where</w:t>
      </w:r>
      <w:r w:rsidR="000B0074" w:rsidRPr="002B62F6">
        <w:rPr>
          <w:rFonts w:ascii="Arial" w:hAnsi="Arial" w:cs="Arial"/>
          <w:sz w:val="22"/>
          <w:szCs w:val="22"/>
        </w:rPr>
        <w:t xml:space="preserve"> </w:t>
      </w:r>
      <w:r w:rsidR="00EE02F9" w:rsidRPr="002B62F6">
        <w:rPr>
          <w:rFonts w:ascii="Arial" w:hAnsi="Arial" w:cs="Arial"/>
          <w:sz w:val="22"/>
          <w:szCs w:val="22"/>
        </w:rPr>
        <w:t>t</w:t>
      </w:r>
      <w:r w:rsidR="000B0074" w:rsidRPr="002B62F6">
        <w:rPr>
          <w:rFonts w:ascii="Arial" w:hAnsi="Arial" w:cs="Arial"/>
          <w:sz w:val="22"/>
          <w:szCs w:val="22"/>
        </w:rPr>
        <w:t xml:space="preserve">he sweep length is chosen to be </w:t>
      </w:r>
      <w:r>
        <w:rPr>
          <w:rFonts w:ascii="Arial" w:hAnsi="Arial" w:cs="Arial"/>
          <w:sz w:val="22"/>
          <w:szCs w:val="22"/>
        </w:rPr>
        <w:t xml:space="preserve">around </w:t>
      </w:r>
      <w:r w:rsidR="000B0074" w:rsidRPr="002B62F6">
        <w:rPr>
          <w:rFonts w:ascii="Arial" w:hAnsi="Arial" w:cs="Arial"/>
          <w:sz w:val="22"/>
          <w:szCs w:val="22"/>
        </w:rPr>
        <w:t>8 se</w:t>
      </w:r>
      <w:r>
        <w:rPr>
          <w:rFonts w:ascii="Arial" w:hAnsi="Arial" w:cs="Arial"/>
          <w:sz w:val="22"/>
          <w:szCs w:val="22"/>
        </w:rPr>
        <w:t>c</w:t>
      </w:r>
      <w:r w:rsidR="000B0074" w:rsidRPr="002B62F6">
        <w:rPr>
          <w:rFonts w:ascii="Arial" w:hAnsi="Arial" w:cs="Arial"/>
          <w:sz w:val="22"/>
          <w:szCs w:val="22"/>
        </w:rPr>
        <w:t xml:space="preserve"> and the delay between the sweeps 0.1 sec</w:t>
      </w:r>
      <w:r>
        <w:rPr>
          <w:rFonts w:ascii="Arial" w:hAnsi="Arial" w:cs="Arial"/>
          <w:sz w:val="22"/>
          <w:szCs w:val="22"/>
        </w:rPr>
        <w:t>;</w:t>
      </w:r>
      <w:r w:rsidR="000B0074" w:rsidRPr="002B62F6">
        <w:rPr>
          <w:rFonts w:ascii="Arial" w:hAnsi="Arial" w:cs="Arial"/>
          <w:sz w:val="22"/>
          <w:szCs w:val="22"/>
        </w:rPr>
        <w:t xml:space="preserve"> </w:t>
      </w:r>
      <w:r>
        <w:rPr>
          <w:rFonts w:ascii="Arial" w:hAnsi="Arial" w:cs="Arial"/>
          <w:sz w:val="22"/>
          <w:szCs w:val="22"/>
        </w:rPr>
        <w:t>s</w:t>
      </w:r>
      <w:r w:rsidR="000B0074" w:rsidRPr="002B62F6">
        <w:rPr>
          <w:rFonts w:ascii="Arial" w:hAnsi="Arial" w:cs="Arial"/>
          <w:sz w:val="22"/>
          <w:szCs w:val="22"/>
        </w:rPr>
        <w:t>weep starts at 100 Hz and stops at 24 kHz</w:t>
      </w:r>
      <w:r w:rsidR="00EE02F9" w:rsidRPr="002B62F6">
        <w:rPr>
          <w:rFonts w:ascii="Arial" w:hAnsi="Arial" w:cs="Arial"/>
          <w:sz w:val="22"/>
          <w:szCs w:val="22"/>
        </w:rPr>
        <w:t>;</w:t>
      </w:r>
      <w:r w:rsidR="000B0074" w:rsidRPr="002B62F6">
        <w:rPr>
          <w:rFonts w:ascii="Arial" w:hAnsi="Arial" w:cs="Arial"/>
          <w:sz w:val="22"/>
          <w:szCs w:val="22"/>
        </w:rPr>
        <w:t xml:space="preserve"> </w:t>
      </w:r>
      <w:r w:rsidR="00EE02F9" w:rsidRPr="002B62F6">
        <w:rPr>
          <w:rFonts w:ascii="Arial" w:hAnsi="Arial" w:cs="Arial"/>
          <w:sz w:val="22"/>
          <w:szCs w:val="22"/>
        </w:rPr>
        <w:t>f</w:t>
      </w:r>
      <w:r w:rsidR="000B0074" w:rsidRPr="002B62F6">
        <w:rPr>
          <w:rFonts w:ascii="Arial" w:hAnsi="Arial" w:cs="Arial"/>
          <w:sz w:val="22"/>
          <w:szCs w:val="22"/>
        </w:rPr>
        <w:t>or HRTF measurement, the theoretic time of a measuring session is 18.5 minutes [2].</w:t>
      </w:r>
      <w:r w:rsidR="00EE02F9" w:rsidRPr="002B62F6">
        <w:rPr>
          <w:rFonts w:ascii="Arial" w:hAnsi="Arial" w:cs="Arial"/>
          <w:sz w:val="22"/>
          <w:szCs w:val="22"/>
        </w:rPr>
        <w:t xml:space="preserve"> Other test signals </w:t>
      </w:r>
      <w:r>
        <w:rPr>
          <w:rFonts w:ascii="Arial" w:hAnsi="Arial" w:cs="Arial"/>
          <w:sz w:val="22"/>
          <w:szCs w:val="22"/>
        </w:rPr>
        <w:t xml:space="preserve">than the sweep sine test </w:t>
      </w:r>
      <w:r w:rsidR="00EE02F9" w:rsidRPr="002B62F6">
        <w:rPr>
          <w:rFonts w:ascii="Arial" w:hAnsi="Arial" w:cs="Arial"/>
          <w:sz w:val="22"/>
          <w:szCs w:val="22"/>
        </w:rPr>
        <w:t>could be considered as explained in the original proposal in [3].</w:t>
      </w:r>
    </w:p>
    <w:p w14:paraId="6A893E5C" w14:textId="63A96FFD" w:rsidR="000B0074" w:rsidRPr="002B62F6" w:rsidRDefault="000B0074" w:rsidP="000B0074">
      <w:pPr>
        <w:pStyle w:val="Paragraphedeliste"/>
        <w:numPr>
          <w:ilvl w:val="0"/>
          <w:numId w:val="13"/>
        </w:numPr>
        <w:rPr>
          <w:rFonts w:ascii="Arial" w:hAnsi="Arial" w:cs="Arial"/>
          <w:sz w:val="22"/>
          <w:szCs w:val="22"/>
        </w:rPr>
      </w:pPr>
      <w:r w:rsidRPr="002B62F6">
        <w:rPr>
          <w:rFonts w:ascii="Arial" w:hAnsi="Arial" w:cs="Arial"/>
          <w:sz w:val="22"/>
          <w:szCs w:val="22"/>
        </w:rPr>
        <w:t xml:space="preserve">The measurement corresponds more to a directional response </w:t>
      </w:r>
      <w:r w:rsidR="00EE02F9" w:rsidRPr="002B62F6">
        <w:rPr>
          <w:rFonts w:ascii="Arial" w:hAnsi="Arial" w:cs="Arial"/>
          <w:sz w:val="22"/>
          <w:szCs w:val="22"/>
        </w:rPr>
        <w:t>measurement;</w:t>
      </w:r>
      <w:r w:rsidRPr="002B62F6">
        <w:rPr>
          <w:rFonts w:ascii="Arial" w:hAnsi="Arial" w:cs="Arial"/>
          <w:sz w:val="22"/>
          <w:szCs w:val="22"/>
        </w:rPr>
        <w:t xml:space="preserve"> however</w:t>
      </w:r>
      <w:r w:rsidR="00A85757">
        <w:rPr>
          <w:rFonts w:ascii="Arial" w:hAnsi="Arial" w:cs="Arial"/>
          <w:sz w:val="22"/>
          <w:szCs w:val="22"/>
        </w:rPr>
        <w:t xml:space="preserve">, </w:t>
      </w:r>
      <w:r w:rsidRPr="002B62F6">
        <w:rPr>
          <w:rFonts w:ascii="Arial" w:hAnsi="Arial" w:cs="Arial"/>
          <w:sz w:val="22"/>
          <w:szCs w:val="22"/>
        </w:rPr>
        <w:t>the</w:t>
      </w:r>
      <w:r w:rsidR="00A85757">
        <w:rPr>
          <w:rFonts w:ascii="Arial" w:hAnsi="Arial" w:cs="Arial"/>
          <w:sz w:val="22"/>
          <w:szCs w:val="22"/>
        </w:rPr>
        <w:t>se responses</w:t>
      </w:r>
      <w:r w:rsidRPr="002B62F6">
        <w:rPr>
          <w:rFonts w:ascii="Arial" w:hAnsi="Arial" w:cs="Arial"/>
          <w:sz w:val="22"/>
          <w:szCs w:val="22"/>
        </w:rPr>
        <w:t xml:space="preserve"> can be combined to obtain a diffuse-field send frequency response.</w:t>
      </w:r>
    </w:p>
    <w:p w14:paraId="35845617" w14:textId="0B84A3B3" w:rsidR="000B0074" w:rsidRPr="002B62F6" w:rsidRDefault="000B0074" w:rsidP="008D76B4">
      <w:pPr>
        <w:pStyle w:val="Paragraphedeliste"/>
        <w:numPr>
          <w:ilvl w:val="0"/>
          <w:numId w:val="13"/>
        </w:numPr>
        <w:rPr>
          <w:rFonts w:ascii="Arial" w:hAnsi="Arial" w:cs="Arial"/>
          <w:sz w:val="22"/>
          <w:szCs w:val="22"/>
          <w:lang w:val="en-GB"/>
        </w:rPr>
      </w:pPr>
      <w:r w:rsidRPr="002B62F6">
        <w:rPr>
          <w:rFonts w:ascii="Arial" w:hAnsi="Arial" w:cs="Arial"/>
          <w:sz w:val="22"/>
          <w:szCs w:val="22"/>
        </w:rPr>
        <w:lastRenderedPageBreak/>
        <w:t xml:space="preserve">Measurements have been done in [2] for the 29th order Gaussian grid </w:t>
      </w:r>
      <w:r w:rsidR="00EE02F9" w:rsidRPr="002B62F6">
        <w:rPr>
          <w:rFonts w:ascii="Arial" w:hAnsi="Arial" w:cs="Arial"/>
          <w:sz w:val="22"/>
          <w:szCs w:val="22"/>
        </w:rPr>
        <w:t xml:space="preserve">with about 1800 directions </w:t>
      </w:r>
      <w:r w:rsidRPr="002B62F6">
        <w:rPr>
          <w:rFonts w:ascii="Arial" w:hAnsi="Arial" w:cs="Arial"/>
          <w:sz w:val="22"/>
          <w:szCs w:val="22"/>
        </w:rPr>
        <w:t>(seen as a A-format)</w:t>
      </w:r>
      <w:r w:rsidR="00943E7F" w:rsidRPr="002B62F6">
        <w:rPr>
          <w:rFonts w:ascii="Arial" w:hAnsi="Arial" w:cs="Arial"/>
          <w:sz w:val="22"/>
          <w:szCs w:val="22"/>
        </w:rPr>
        <w:t>. For this grid the resolution in</w:t>
      </w:r>
      <w:r w:rsidR="00943E7F" w:rsidRPr="002B62F6">
        <w:rPr>
          <w:rFonts w:ascii="Arial" w:hAnsi="Arial" w:cs="Arial"/>
          <w:sz w:val="22"/>
          <w:szCs w:val="22"/>
          <w:lang w:val="en-GB"/>
        </w:rPr>
        <w:t xml:space="preserve"> azimuth</w:t>
      </w:r>
      <w:r w:rsidR="00A85757">
        <w:rPr>
          <w:rFonts w:ascii="Arial" w:hAnsi="Arial" w:cs="Arial"/>
          <w:sz w:val="22"/>
          <w:szCs w:val="22"/>
          <w:lang w:val="en-GB"/>
        </w:rPr>
        <w:t xml:space="preserve"> is</w:t>
      </w:r>
      <w:r w:rsidR="00943E7F" w:rsidRPr="002B62F6">
        <w:rPr>
          <w:rFonts w:ascii="Arial" w:hAnsi="Arial" w:cs="Arial"/>
          <w:sz w:val="22"/>
          <w:szCs w:val="22"/>
          <w:lang w:val="en-GB"/>
        </w:rPr>
        <w:t xml:space="preserve"> 6 degrees</w:t>
      </w:r>
      <w:r w:rsidR="00A85757">
        <w:rPr>
          <w:rFonts w:ascii="Arial" w:hAnsi="Arial" w:cs="Arial"/>
          <w:sz w:val="22"/>
          <w:szCs w:val="22"/>
          <w:lang w:val="en-GB"/>
        </w:rPr>
        <w:t>,</w:t>
      </w:r>
      <w:r w:rsidR="00943E7F" w:rsidRPr="002B62F6">
        <w:rPr>
          <w:rFonts w:ascii="Arial" w:hAnsi="Arial" w:cs="Arial"/>
          <w:sz w:val="22"/>
          <w:szCs w:val="22"/>
          <w:lang w:val="en-GB"/>
        </w:rPr>
        <w:t xml:space="preserve"> which corresponds to an order 29 in 2D HOA; the resolution in elevation is not constant, it </w:t>
      </w:r>
      <w:r w:rsidR="00A85757">
        <w:rPr>
          <w:rFonts w:ascii="Arial" w:hAnsi="Arial" w:cs="Arial"/>
          <w:sz w:val="22"/>
          <w:szCs w:val="22"/>
          <w:lang w:val="en-GB"/>
        </w:rPr>
        <w:t>goes from</w:t>
      </w:r>
      <w:r w:rsidR="00943E7F" w:rsidRPr="002B62F6">
        <w:rPr>
          <w:rFonts w:ascii="Arial" w:hAnsi="Arial" w:cs="Arial"/>
          <w:sz w:val="22"/>
          <w:szCs w:val="22"/>
          <w:lang w:val="en-GB"/>
        </w:rPr>
        <w:t xml:space="preserve"> 5 to 6 degrees (after rounding)</w:t>
      </w:r>
      <w:r w:rsidR="00193B65" w:rsidRPr="002B62F6">
        <w:rPr>
          <w:rFonts w:ascii="Arial" w:hAnsi="Arial" w:cs="Arial"/>
          <w:sz w:val="22"/>
          <w:szCs w:val="22"/>
          <w:lang w:val="en-GB"/>
        </w:rPr>
        <w:t>.</w:t>
      </w:r>
      <w:r w:rsidR="00943E7F" w:rsidRPr="002B62F6">
        <w:rPr>
          <w:rFonts w:ascii="Arial" w:hAnsi="Arial" w:cs="Arial"/>
          <w:sz w:val="22"/>
          <w:szCs w:val="22"/>
          <w:lang w:val="en-GB"/>
        </w:rPr>
        <w:t xml:space="preserve"> </w:t>
      </w:r>
      <w:r w:rsidR="00193B65" w:rsidRPr="002B62F6">
        <w:rPr>
          <w:rFonts w:ascii="Arial" w:hAnsi="Arial" w:cs="Arial"/>
          <w:sz w:val="22"/>
          <w:szCs w:val="22"/>
          <w:lang w:val="en-GB"/>
        </w:rPr>
        <w:t>O</w:t>
      </w:r>
      <w:r w:rsidR="00943E7F" w:rsidRPr="002B62F6">
        <w:rPr>
          <w:rFonts w:ascii="Arial" w:hAnsi="Arial" w:cs="Arial"/>
          <w:sz w:val="22"/>
          <w:szCs w:val="22"/>
          <w:lang w:val="en-GB"/>
        </w:rPr>
        <w:t>verall</w:t>
      </w:r>
      <w:r w:rsidR="00193B65" w:rsidRPr="002B62F6">
        <w:rPr>
          <w:rFonts w:ascii="Arial" w:hAnsi="Arial" w:cs="Arial"/>
          <w:sz w:val="22"/>
          <w:szCs w:val="22"/>
          <w:lang w:val="en-GB"/>
        </w:rPr>
        <w:t>,</w:t>
      </w:r>
      <w:r w:rsidR="00943E7F" w:rsidRPr="002B62F6">
        <w:rPr>
          <w:rFonts w:ascii="Arial" w:hAnsi="Arial" w:cs="Arial"/>
          <w:sz w:val="22"/>
          <w:szCs w:val="22"/>
          <w:lang w:val="en-GB"/>
        </w:rPr>
        <w:t xml:space="preserve"> </w:t>
      </w:r>
      <w:r w:rsidRPr="002B62F6">
        <w:rPr>
          <w:rFonts w:ascii="Arial" w:hAnsi="Arial" w:cs="Arial"/>
          <w:sz w:val="22"/>
          <w:szCs w:val="22"/>
          <w:lang w:val="en-GB"/>
        </w:rPr>
        <w:t xml:space="preserve">this </w:t>
      </w:r>
      <w:r w:rsidR="00193B65" w:rsidRPr="002B62F6">
        <w:rPr>
          <w:rFonts w:ascii="Arial" w:hAnsi="Arial" w:cs="Arial"/>
          <w:sz w:val="22"/>
          <w:szCs w:val="22"/>
          <w:lang w:val="en-GB"/>
        </w:rPr>
        <w:t xml:space="preserve">example grid </w:t>
      </w:r>
      <w:r w:rsidRPr="002B62F6">
        <w:rPr>
          <w:rFonts w:ascii="Arial" w:hAnsi="Arial" w:cs="Arial"/>
          <w:sz w:val="22"/>
          <w:szCs w:val="22"/>
          <w:lang w:val="en-GB"/>
        </w:rPr>
        <w:t xml:space="preserve">allows a conversion to </w:t>
      </w:r>
      <w:r w:rsidR="00943E7F" w:rsidRPr="002B62F6">
        <w:rPr>
          <w:rFonts w:ascii="Arial" w:hAnsi="Arial" w:cs="Arial"/>
          <w:sz w:val="22"/>
          <w:szCs w:val="22"/>
          <w:lang w:val="en-GB"/>
        </w:rPr>
        <w:t xml:space="preserve">3D </w:t>
      </w:r>
      <w:r w:rsidRPr="002B62F6">
        <w:rPr>
          <w:rFonts w:ascii="Arial" w:hAnsi="Arial" w:cs="Arial"/>
          <w:sz w:val="22"/>
          <w:szCs w:val="22"/>
          <w:lang w:val="en-GB"/>
        </w:rPr>
        <w:t xml:space="preserve">HOA (B-format) of </w:t>
      </w:r>
      <w:r w:rsidR="008D76B4" w:rsidRPr="002B62F6">
        <w:rPr>
          <w:rFonts w:ascii="Arial" w:hAnsi="Arial" w:cs="Arial"/>
          <w:sz w:val="22"/>
          <w:szCs w:val="22"/>
          <w:lang w:val="en-GB"/>
        </w:rPr>
        <w:t xml:space="preserve">theoretical </w:t>
      </w:r>
      <w:r w:rsidRPr="002B62F6">
        <w:rPr>
          <w:rFonts w:ascii="Arial" w:hAnsi="Arial" w:cs="Arial"/>
          <w:sz w:val="22"/>
          <w:szCs w:val="22"/>
          <w:lang w:val="en-GB"/>
        </w:rPr>
        <w:t>order</w:t>
      </w:r>
      <w:r w:rsidR="008D76B4" w:rsidRPr="002B62F6">
        <w:rPr>
          <w:rFonts w:ascii="Arial" w:hAnsi="Arial" w:cs="Arial"/>
          <w:sz w:val="22"/>
          <w:szCs w:val="22"/>
          <w:lang w:val="en-GB"/>
        </w:rPr>
        <w:t xml:space="preserve"> up to</w:t>
      </w:r>
      <w:r w:rsidRPr="002B62F6">
        <w:rPr>
          <w:rFonts w:ascii="Arial" w:hAnsi="Arial" w:cs="Arial"/>
          <w:sz w:val="22"/>
          <w:szCs w:val="22"/>
          <w:lang w:val="en-GB"/>
        </w:rPr>
        <w:t xml:space="preserve"> </w:t>
      </w:r>
      <w:r w:rsidR="00943E7F" w:rsidRPr="002B62F6">
        <w:rPr>
          <w:rFonts w:ascii="Arial" w:hAnsi="Arial" w:cs="Arial"/>
          <w:sz w:val="22"/>
          <w:szCs w:val="22"/>
          <w:lang w:val="en-GB"/>
        </w:rPr>
        <w:t>29</w:t>
      </w:r>
      <w:r w:rsidRPr="002B62F6">
        <w:rPr>
          <w:rFonts w:ascii="Arial" w:hAnsi="Arial" w:cs="Arial"/>
          <w:sz w:val="22"/>
          <w:szCs w:val="22"/>
          <w:lang w:val="en-GB"/>
        </w:rPr>
        <w:t>.</w:t>
      </w:r>
      <w:r w:rsidR="004E5A88" w:rsidRPr="002B62F6">
        <w:rPr>
          <w:rFonts w:ascii="Arial" w:hAnsi="Arial" w:cs="Arial"/>
          <w:sz w:val="22"/>
          <w:szCs w:val="22"/>
          <w:lang w:val="en-GB"/>
        </w:rPr>
        <w:t xml:space="preserve"> Note that the turn table setup allows to easily adjust the angular resolution in azimuth</w:t>
      </w:r>
      <w:r w:rsidR="00A85757">
        <w:rPr>
          <w:rFonts w:ascii="Arial" w:hAnsi="Arial" w:cs="Arial"/>
          <w:sz w:val="22"/>
          <w:szCs w:val="22"/>
          <w:lang w:val="en-GB"/>
        </w:rPr>
        <w:t>, so there is flexibility to adjust to other orders</w:t>
      </w:r>
      <w:r w:rsidR="004E5A88" w:rsidRPr="002B62F6">
        <w:rPr>
          <w:rFonts w:ascii="Arial" w:hAnsi="Arial" w:cs="Arial"/>
          <w:sz w:val="22"/>
          <w:szCs w:val="22"/>
          <w:lang w:val="en-GB"/>
        </w:rPr>
        <w:t>.</w:t>
      </w:r>
    </w:p>
    <w:p w14:paraId="187C4F89" w14:textId="77777777" w:rsidR="000B0074" w:rsidRPr="000A273A" w:rsidRDefault="000B0074" w:rsidP="00EE02F9">
      <w:pPr>
        <w:rPr>
          <w:rFonts w:eastAsia="MS Gothic" w:cs="Arial"/>
          <w:b/>
          <w:color w:val="4F81BD" w:themeColor="accent1"/>
        </w:rPr>
      </w:pPr>
    </w:p>
    <w:p w14:paraId="23E4FF36" w14:textId="7888DC9C" w:rsidR="009B4327" w:rsidRPr="000A273A" w:rsidRDefault="000B0074" w:rsidP="000B0074">
      <w:pPr>
        <w:pStyle w:val="Paragraphedeliste"/>
        <w:rPr>
          <w:rFonts w:ascii="Arial" w:eastAsia="MS Gothic" w:hAnsi="Arial" w:cs="Arial"/>
          <w:b/>
          <w:color w:val="4F81BD" w:themeColor="accent1"/>
        </w:rPr>
      </w:pPr>
      <w:r w:rsidRPr="000A273A">
        <w:rPr>
          <w:rFonts w:ascii="Arial" w:hAnsi="Arial" w:cs="Arial"/>
          <w:lang w:val="en-GB"/>
        </w:rPr>
        <w:t xml:space="preserve"> </w:t>
      </w:r>
      <w:r w:rsidR="009B4327" w:rsidRPr="000A273A">
        <w:rPr>
          <w:rFonts w:ascii="Arial" w:eastAsia="MS Gothic" w:hAnsi="Arial" w:cs="Arial"/>
          <w:b/>
          <w:color w:val="4F81BD" w:themeColor="accent1"/>
        </w:rPr>
        <w:t>2.3 Directional response measurement for scene-based audio (26.260 clause 4.1.2)</w:t>
      </w:r>
    </w:p>
    <w:p w14:paraId="231F870C" w14:textId="77777777" w:rsidR="009B4327" w:rsidRPr="000A273A" w:rsidRDefault="009B4327" w:rsidP="009B4327">
      <w:pPr>
        <w:rPr>
          <w:rFonts w:eastAsia="Arial" w:cs="Arial"/>
          <w:color w:val="4F81BD" w:themeColor="accent1"/>
          <w:sz w:val="20"/>
        </w:rPr>
      </w:pPr>
      <w:r w:rsidRPr="000A273A">
        <w:rPr>
          <w:rFonts w:eastAsia="Arial" w:cs="Arial"/>
          <w:color w:val="4F81BD" w:themeColor="accent1"/>
          <w:sz w:val="20"/>
        </w:rPr>
        <w:t xml:space="preserve">This method measures the impulse response (or transfer function) of a test device given a pre-defined direction of the captured signal. The method assumes that the test stimulus is played from a loudspeaker at position </w:t>
      </w:r>
      <m:oMath>
        <m:sSub>
          <m:sSubPr>
            <m:ctrlPr>
              <w:rPr>
                <w:rFonts w:ascii="Cambria Math" w:eastAsia="Arial" w:hAnsi="Cambria Math" w:cs="Arial"/>
                <w:i/>
                <w:color w:val="4F81BD" w:themeColor="accent1"/>
                <w:sz w:val="20"/>
              </w:rPr>
            </m:ctrlPr>
          </m:sSubPr>
          <m:e>
            <m:r>
              <w:rPr>
                <w:rFonts w:ascii="Cambria Math" w:eastAsia="Arial" w:hAnsi="Cambria Math" w:cs="Arial"/>
                <w:color w:val="4F81BD" w:themeColor="accent1"/>
                <w:sz w:val="20"/>
              </w:rPr>
              <m:t>(θ</m:t>
            </m:r>
          </m:e>
          <m:sub>
            <m:r>
              <w:rPr>
                <w:rFonts w:ascii="Cambria Math" w:eastAsia="Arial" w:hAnsi="Cambria Math" w:cs="Arial"/>
                <w:color w:val="4F81BD" w:themeColor="accent1"/>
                <w:sz w:val="20"/>
              </w:rPr>
              <m:t>i</m:t>
            </m:r>
          </m:sub>
        </m:sSub>
        <m:r>
          <w:rPr>
            <w:rFonts w:ascii="Cambria Math" w:eastAsia="Arial" w:hAnsi="Cambria Math" w:cs="Arial"/>
            <w:color w:val="4F81BD" w:themeColor="accent1"/>
            <w:sz w:val="20"/>
          </w:rPr>
          <m:t xml:space="preserve">, </m:t>
        </m:r>
        <m:sSub>
          <m:sSubPr>
            <m:ctrlPr>
              <w:rPr>
                <w:rFonts w:ascii="Cambria Math" w:eastAsia="Arial" w:hAnsi="Cambria Math" w:cs="Arial"/>
                <w:i/>
                <w:color w:val="4F81BD" w:themeColor="accent1"/>
                <w:sz w:val="20"/>
              </w:rPr>
            </m:ctrlPr>
          </m:sSubPr>
          <m:e>
            <m:r>
              <w:rPr>
                <w:rFonts w:ascii="Cambria Math" w:eastAsia="Arial" w:hAnsi="Cambria Math" w:cs="Arial"/>
                <w:color w:val="4F81BD" w:themeColor="accent1"/>
                <w:sz w:val="20"/>
              </w:rPr>
              <m:t>ϕ</m:t>
            </m:r>
          </m:e>
          <m:sub>
            <m:r>
              <w:rPr>
                <w:rFonts w:ascii="Cambria Math" w:eastAsia="Arial" w:hAnsi="Cambria Math" w:cs="Arial"/>
                <w:color w:val="4F81BD" w:themeColor="accent1"/>
                <w:sz w:val="20"/>
              </w:rPr>
              <m:t>i</m:t>
            </m:r>
          </m:sub>
        </m:sSub>
        <m:r>
          <w:rPr>
            <w:rFonts w:ascii="Cambria Math" w:eastAsia="Arial" w:hAnsi="Cambria Math" w:cs="Arial"/>
            <w:color w:val="4F81BD" w:themeColor="accent1"/>
            <w:sz w:val="20"/>
          </w:rPr>
          <m:t>), i=1…L</m:t>
        </m:r>
      </m:oMath>
      <w:r w:rsidRPr="000A273A">
        <w:rPr>
          <w:rFonts w:eastAsia="Arial" w:cs="Arial"/>
          <w:color w:val="4F81BD" w:themeColor="accent1"/>
          <w:sz w:val="20"/>
        </w:rPr>
        <w:t>.</w:t>
      </w:r>
    </w:p>
    <w:p w14:paraId="0B8C9554" w14:textId="77777777" w:rsidR="009B4327" w:rsidRPr="000A273A" w:rsidRDefault="009B4327" w:rsidP="009B4327">
      <w:pPr>
        <w:rPr>
          <w:rFonts w:eastAsia="Arial" w:cs="Arial"/>
          <w:color w:val="4F81BD" w:themeColor="accent1"/>
          <w:sz w:val="20"/>
        </w:rPr>
      </w:pPr>
      <w:r w:rsidRPr="000A273A">
        <w:rPr>
          <w:rFonts w:eastAsia="Arial" w:cs="Arial"/>
          <w:color w:val="4F81BD" w:themeColor="accent1"/>
          <w:sz w:val="20"/>
        </w:rPr>
        <w:t>It is specified that an exponential sweep sine test signal is used, which may suggest that the Farina method (or similar) should be used [2]. The specification is generic regarding the Ambisonics signal to which it may be applied and makes no particular suggestions. It is unclear in what regards the method is different than the method in 2.2 (Diffuse-field send frequency response test using loudspeaker array and turn table) for each individual loudspeaker position.</w:t>
      </w:r>
    </w:p>
    <w:p w14:paraId="50A03305" w14:textId="77777777" w:rsidR="00BF5B76" w:rsidRPr="000A273A" w:rsidRDefault="00BF5B76" w:rsidP="00BF5B76">
      <w:pPr>
        <w:rPr>
          <w:rFonts w:cs="Arial"/>
          <w:b/>
          <w:bCs/>
          <w:lang w:val="en-US"/>
        </w:rPr>
      </w:pPr>
      <w:r w:rsidRPr="000A273A">
        <w:rPr>
          <w:rFonts w:cs="Arial"/>
          <w:b/>
          <w:bCs/>
          <w:lang w:val="en-US"/>
        </w:rPr>
        <w:t>Clarifications:</w:t>
      </w:r>
    </w:p>
    <w:p w14:paraId="38D2E1A6" w14:textId="2E0C4D5C" w:rsidR="009B4327" w:rsidRPr="000A273A" w:rsidRDefault="000B0074" w:rsidP="000B0074">
      <w:pPr>
        <w:rPr>
          <w:rFonts w:cs="Arial"/>
        </w:rPr>
      </w:pPr>
      <w:r w:rsidRPr="000A273A">
        <w:rPr>
          <w:rFonts w:cs="Arial"/>
        </w:rPr>
        <w:t>An example implementation is described in [2]. The intention is that the method in 2.3 of TS 26.260 would the same as in 2.2 of the same specification.</w:t>
      </w:r>
    </w:p>
    <w:p w14:paraId="17CAE444" w14:textId="77777777" w:rsidR="000B0074" w:rsidRPr="000A273A" w:rsidRDefault="000B0074" w:rsidP="000B0074">
      <w:pPr>
        <w:rPr>
          <w:rFonts w:cs="Arial"/>
        </w:rPr>
      </w:pPr>
    </w:p>
    <w:p w14:paraId="324EC022" w14:textId="77777777" w:rsidR="000B0074" w:rsidRPr="000A273A" w:rsidRDefault="000B0074" w:rsidP="000B0074">
      <w:pPr>
        <w:rPr>
          <w:rFonts w:cs="Arial"/>
        </w:rPr>
      </w:pPr>
    </w:p>
    <w:p w14:paraId="5C5CC4EC" w14:textId="77777777" w:rsidR="00F632D7" w:rsidRPr="000A273A" w:rsidRDefault="00F632D7" w:rsidP="00F632D7">
      <w:pPr>
        <w:keepNext/>
        <w:tabs>
          <w:tab w:val="left" w:pos="2127"/>
        </w:tabs>
        <w:outlineLvl w:val="1"/>
        <w:rPr>
          <w:rFonts w:cs="Arial"/>
          <w:b/>
          <w:sz w:val="24"/>
        </w:rPr>
      </w:pPr>
      <w:r w:rsidRPr="000A273A">
        <w:rPr>
          <w:rFonts w:cs="Arial"/>
          <w:b/>
          <w:sz w:val="24"/>
        </w:rPr>
        <w:t>References</w:t>
      </w:r>
    </w:p>
    <w:p w14:paraId="6DFB79F5" w14:textId="6CEE917B" w:rsidR="00F632D7" w:rsidRPr="00220D80" w:rsidRDefault="00F632D7" w:rsidP="00F632D7">
      <w:pPr>
        <w:pStyle w:val="Paragraphedeliste"/>
        <w:numPr>
          <w:ilvl w:val="0"/>
          <w:numId w:val="10"/>
        </w:numPr>
        <w:spacing w:line="276" w:lineRule="auto"/>
        <w:contextualSpacing/>
        <w:rPr>
          <w:rFonts w:ascii="Arial" w:hAnsi="Arial" w:cs="Arial"/>
          <w:sz w:val="22"/>
          <w:szCs w:val="22"/>
          <w:lang w:val="en-GB"/>
        </w:rPr>
      </w:pPr>
      <w:r w:rsidRPr="00220D80">
        <w:rPr>
          <w:rFonts w:ascii="Arial" w:hAnsi="Arial" w:cs="Arial"/>
          <w:sz w:val="22"/>
          <w:szCs w:val="22"/>
          <w:lang w:val="en-GB"/>
        </w:rPr>
        <w:t xml:space="preserve">Tdoc </w:t>
      </w:r>
      <w:r w:rsidR="009B4327" w:rsidRPr="00220D80">
        <w:rPr>
          <w:rFonts w:ascii="Arial" w:hAnsi="Arial" w:cs="Arial"/>
          <w:sz w:val="22"/>
          <w:szCs w:val="22"/>
          <w:lang w:val="en-GB"/>
        </w:rPr>
        <w:t>S4aA220018</w:t>
      </w:r>
      <w:r w:rsidRPr="00220D80">
        <w:rPr>
          <w:rFonts w:ascii="Arial" w:hAnsi="Arial" w:cs="Arial"/>
          <w:sz w:val="22"/>
          <w:szCs w:val="22"/>
          <w:lang w:val="en-GB"/>
        </w:rPr>
        <w:t xml:space="preserve">, </w:t>
      </w:r>
      <w:r w:rsidR="009B4327" w:rsidRPr="00220D80">
        <w:rPr>
          <w:rFonts w:ascii="Arial" w:hAnsi="Arial" w:cs="Arial"/>
          <w:sz w:val="22"/>
          <w:szCs w:val="22"/>
          <w:lang w:val="en-GB"/>
        </w:rPr>
        <w:t>On send side audio performance assessment for Immersive Audio Systems</w:t>
      </w:r>
      <w:r w:rsidRPr="00220D80">
        <w:rPr>
          <w:rFonts w:ascii="Arial" w:hAnsi="Arial" w:cs="Arial"/>
          <w:sz w:val="22"/>
          <w:szCs w:val="22"/>
          <w:lang w:val="en-GB"/>
        </w:rPr>
        <w:t xml:space="preserve">, Source: </w:t>
      </w:r>
      <w:r w:rsidR="009B4327" w:rsidRPr="00220D80">
        <w:rPr>
          <w:rFonts w:ascii="Arial" w:hAnsi="Arial" w:cs="Arial"/>
          <w:sz w:val="22"/>
          <w:szCs w:val="22"/>
          <w:lang w:val="en-GB"/>
        </w:rPr>
        <w:t>Dolby Laboratories Inc.</w:t>
      </w:r>
    </w:p>
    <w:p w14:paraId="31B63289" w14:textId="730D04B8" w:rsidR="000B0074" w:rsidRPr="00220D80" w:rsidRDefault="000B0074" w:rsidP="000B0074">
      <w:pPr>
        <w:pStyle w:val="Paragraphedeliste"/>
        <w:numPr>
          <w:ilvl w:val="0"/>
          <w:numId w:val="10"/>
        </w:numPr>
        <w:rPr>
          <w:rFonts w:ascii="Arial" w:hAnsi="Arial" w:cs="Arial"/>
          <w:sz w:val="22"/>
          <w:szCs w:val="22"/>
        </w:rPr>
      </w:pPr>
      <w:r w:rsidRPr="00220D80">
        <w:rPr>
          <w:rFonts w:ascii="Arial" w:hAnsi="Arial" w:cs="Arial"/>
          <w:sz w:val="22"/>
          <w:szCs w:val="22"/>
        </w:rPr>
        <w:t xml:space="preserve">Felipe Rugeles Ospina, Marc Emerit and Jerome Daniel. A fast measurement of high spatial resolution head related transfer functions for the BiLi Project. International Conference of Spatial Audio, 2015 (Available as annex D of the PhD thesis at: </w:t>
      </w:r>
      <w:hyperlink r:id="rId11" w:history="1">
        <w:r w:rsidRPr="00220D80">
          <w:rPr>
            <w:rStyle w:val="Lienhypertexte"/>
            <w:rFonts w:eastAsia="Calibri"/>
            <w:kern w:val="0"/>
            <w:sz w:val="22"/>
            <w:szCs w:val="22"/>
            <w:lang w:eastAsia="en-US"/>
          </w:rPr>
          <w:t>https://theses.hal.science/tel-01635248v1/document</w:t>
        </w:r>
      </w:hyperlink>
      <w:r w:rsidRPr="00220D80">
        <w:rPr>
          <w:rFonts w:ascii="Arial" w:hAnsi="Arial" w:cs="Arial"/>
          <w:sz w:val="22"/>
          <w:szCs w:val="22"/>
        </w:rPr>
        <w:t>)</w:t>
      </w:r>
    </w:p>
    <w:p w14:paraId="59C34A33" w14:textId="5F2908FB" w:rsidR="00EE02F9" w:rsidRPr="00220D80" w:rsidRDefault="00EE02F9" w:rsidP="000B0074">
      <w:pPr>
        <w:pStyle w:val="Paragraphedeliste"/>
        <w:numPr>
          <w:ilvl w:val="0"/>
          <w:numId w:val="10"/>
        </w:numPr>
        <w:rPr>
          <w:rFonts w:ascii="Arial" w:hAnsi="Arial" w:cs="Arial"/>
          <w:sz w:val="22"/>
          <w:szCs w:val="22"/>
        </w:rPr>
      </w:pPr>
      <w:r w:rsidRPr="00220D80">
        <w:rPr>
          <w:rFonts w:ascii="Arial" w:hAnsi="Arial" w:cs="Arial"/>
          <w:sz w:val="22"/>
          <w:szCs w:val="22"/>
        </w:rPr>
        <w:t>Tdoc S4-AHQ134, Proposed alternative test method for the measurement of send frequency response for scene-based audio, Source: ORANGE (3GPP TSG-SA4 SQ Adhoc Meeting on LiQuImAS)</w:t>
      </w:r>
    </w:p>
    <w:p w14:paraId="6F8C1424" w14:textId="77777777" w:rsidR="00F632D7" w:rsidRPr="000A273A" w:rsidRDefault="00F632D7" w:rsidP="00FF0FE3">
      <w:pPr>
        <w:rPr>
          <w:rFonts w:cs="Arial"/>
        </w:rPr>
      </w:pPr>
    </w:p>
    <w:sectPr w:rsidR="00F632D7" w:rsidRPr="000A273A" w:rsidSect="00941A7F">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D1A55" w14:textId="77777777" w:rsidR="000270D0" w:rsidRDefault="000270D0">
      <w:r>
        <w:separator/>
      </w:r>
    </w:p>
  </w:endnote>
  <w:endnote w:type="continuationSeparator" w:id="0">
    <w:p w14:paraId="53C3C8E5" w14:textId="77777777" w:rsidR="000270D0" w:rsidRDefault="00027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4E848" w14:textId="77777777" w:rsidR="00435854" w:rsidRDefault="0043585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4450FEA2"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1DD30AC6"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F1D49" w14:textId="77777777" w:rsidR="000270D0" w:rsidRDefault="000270D0">
      <w:r>
        <w:separator/>
      </w:r>
    </w:p>
  </w:footnote>
  <w:footnote w:type="continuationSeparator" w:id="0">
    <w:p w14:paraId="6A6ED7D1" w14:textId="77777777" w:rsidR="000270D0" w:rsidRDefault="00027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BCB21" w14:textId="77777777" w:rsidR="00435854" w:rsidRDefault="0043585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47AF5538"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1A2FCB">
      <w:rPr>
        <w:rFonts w:cs="Arial"/>
        <w:lang w:val="en-US"/>
      </w:rPr>
      <w:t>2</w:t>
    </w:r>
    <w:r w:rsidR="002121A5">
      <w:rPr>
        <w:rFonts w:cs="Arial"/>
        <w:lang w:val="en-US"/>
      </w:rPr>
      <w:t>8</w:t>
    </w:r>
    <w:r w:rsidR="00ED0981" w:rsidRPr="0084724A">
      <w:rPr>
        <w:rFonts w:cs="Arial"/>
        <w:b/>
        <w:i/>
      </w:rPr>
      <w:tab/>
    </w:r>
    <w:r w:rsidR="00ED0981" w:rsidRPr="0084724A">
      <w:rPr>
        <w:rFonts w:cs="Arial"/>
        <w:b/>
        <w:i/>
        <w:sz w:val="28"/>
        <w:szCs w:val="28"/>
      </w:rPr>
      <w:t xml:space="preserve">Tdoc </w:t>
    </w:r>
    <w:r w:rsidR="00BC6A2E" w:rsidRPr="00BC6A2E">
      <w:rPr>
        <w:rFonts w:cs="Arial"/>
        <w:b/>
        <w:i/>
        <w:sz w:val="28"/>
        <w:szCs w:val="28"/>
      </w:rPr>
      <w:t>S4-241042</w:t>
    </w:r>
  </w:p>
  <w:p w14:paraId="641F0A71" w14:textId="0ADFD991" w:rsidR="00ED0981" w:rsidRPr="0084724A" w:rsidRDefault="002121A5" w:rsidP="00ED0981">
    <w:pPr>
      <w:tabs>
        <w:tab w:val="right" w:pos="9360"/>
      </w:tabs>
      <w:rPr>
        <w:rFonts w:cs="Arial"/>
        <w:b/>
        <w:lang w:val="en-US" w:eastAsia="zh-CN"/>
      </w:rPr>
    </w:pPr>
    <w:bookmarkStart w:id="0" w:name="_Hlk166577560"/>
    <w:r w:rsidRPr="002121A5">
      <w:rPr>
        <w:rFonts w:cs="Arial"/>
        <w:lang w:eastAsia="zh-CN"/>
      </w:rPr>
      <w:t>Jeju, South Korea</w:t>
    </w:r>
    <w:r w:rsidR="0087137A" w:rsidRPr="0087137A">
      <w:rPr>
        <w:rFonts w:cs="Arial"/>
        <w:lang w:eastAsia="zh-CN"/>
      </w:rPr>
      <w:t xml:space="preserve">, </w:t>
    </w:r>
    <w:r>
      <w:rPr>
        <w:rFonts w:cs="Arial"/>
        <w:lang w:eastAsia="zh-CN"/>
      </w:rPr>
      <w:t>20</w:t>
    </w:r>
    <w:r w:rsidR="00725E75">
      <w:rPr>
        <w:rFonts w:cs="Arial"/>
        <w:lang w:eastAsia="zh-CN"/>
      </w:rPr>
      <w:t>-</w:t>
    </w:r>
    <w:r>
      <w:rPr>
        <w:rFonts w:cs="Arial"/>
        <w:lang w:eastAsia="zh-CN"/>
      </w:rPr>
      <w:t>24</w:t>
    </w:r>
    <w:r w:rsidR="00725E75">
      <w:rPr>
        <w:rFonts w:cs="Arial"/>
        <w:lang w:eastAsia="zh-CN"/>
      </w:rPr>
      <w:t xml:space="preserve"> </w:t>
    </w:r>
    <w:r>
      <w:rPr>
        <w:rFonts w:cs="Arial"/>
        <w:lang w:eastAsia="zh-CN"/>
      </w:rPr>
      <w:t xml:space="preserve">May </w:t>
    </w:r>
    <w:r w:rsidR="00823C63" w:rsidRPr="00823C63">
      <w:rPr>
        <w:rFonts w:cs="Arial"/>
        <w:lang w:eastAsia="zh-CN"/>
      </w:rPr>
      <w:t>202</w:t>
    </w:r>
    <w:r w:rsidR="006D595D">
      <w:rPr>
        <w:rFonts w:cs="Arial"/>
        <w:lang w:eastAsia="zh-CN"/>
      </w:rPr>
      <w:t>4</w:t>
    </w:r>
    <w:bookmarkEnd w:id="0"/>
    <w:r w:rsidR="00831D5B">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A60B63"/>
    <w:multiLevelType w:val="hybridMultilevel"/>
    <w:tmpl w:val="694AA8DC"/>
    <w:lvl w:ilvl="0" w:tplc="E40A03A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7427F8"/>
    <w:multiLevelType w:val="hybridMultilevel"/>
    <w:tmpl w:val="A112C642"/>
    <w:lvl w:ilvl="0" w:tplc="4530C50A">
      <w:start w:val="2"/>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19591B"/>
    <w:multiLevelType w:val="hybridMultilevel"/>
    <w:tmpl w:val="A7AAD838"/>
    <w:lvl w:ilvl="0" w:tplc="E40A03A4">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0"/>
  </w:num>
  <w:num w:numId="2" w16cid:durableId="959411257">
    <w:abstractNumId w:val="12"/>
  </w:num>
  <w:num w:numId="3" w16cid:durableId="967928759">
    <w:abstractNumId w:val="3"/>
  </w:num>
  <w:num w:numId="4" w16cid:durableId="2117826014">
    <w:abstractNumId w:val="5"/>
  </w:num>
  <w:num w:numId="5" w16cid:durableId="466436410">
    <w:abstractNumId w:val="9"/>
  </w:num>
  <w:num w:numId="6" w16cid:durableId="469522628">
    <w:abstractNumId w:val="11"/>
  </w:num>
  <w:num w:numId="7" w16cid:durableId="995306893">
    <w:abstractNumId w:val="4"/>
  </w:num>
  <w:num w:numId="8" w16cid:durableId="222110196">
    <w:abstractNumId w:val="6"/>
  </w:num>
  <w:num w:numId="9" w16cid:durableId="91972245">
    <w:abstractNumId w:val="10"/>
  </w:num>
  <w:num w:numId="10" w16cid:durableId="706412579">
    <w:abstractNumId w:val="8"/>
  </w:num>
  <w:num w:numId="11" w16cid:durableId="1329865075">
    <w:abstractNumId w:val="1"/>
  </w:num>
  <w:num w:numId="12" w16cid:durableId="1384479290">
    <w:abstractNumId w:val="2"/>
  </w:num>
  <w:num w:numId="13" w16cid:durableId="173087861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0D0"/>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73D"/>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73A"/>
    <w:rsid w:val="000A296C"/>
    <w:rsid w:val="000A3045"/>
    <w:rsid w:val="000A4190"/>
    <w:rsid w:val="000A4C54"/>
    <w:rsid w:val="000A508D"/>
    <w:rsid w:val="000A576A"/>
    <w:rsid w:val="000A5878"/>
    <w:rsid w:val="000A5A0F"/>
    <w:rsid w:val="000A5D39"/>
    <w:rsid w:val="000A677F"/>
    <w:rsid w:val="000A6E9A"/>
    <w:rsid w:val="000A75BC"/>
    <w:rsid w:val="000B0074"/>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0249"/>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16E"/>
    <w:rsid w:val="0018334E"/>
    <w:rsid w:val="0018494F"/>
    <w:rsid w:val="00184AF1"/>
    <w:rsid w:val="00185584"/>
    <w:rsid w:val="00186252"/>
    <w:rsid w:val="001862BB"/>
    <w:rsid w:val="00186975"/>
    <w:rsid w:val="0018779D"/>
    <w:rsid w:val="00187DCC"/>
    <w:rsid w:val="00187F49"/>
    <w:rsid w:val="00190204"/>
    <w:rsid w:val="00190DEC"/>
    <w:rsid w:val="001919DC"/>
    <w:rsid w:val="00191EF2"/>
    <w:rsid w:val="0019285C"/>
    <w:rsid w:val="00192FE1"/>
    <w:rsid w:val="00193B65"/>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21B"/>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D80"/>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160"/>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2F6"/>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EEE"/>
    <w:rsid w:val="00332F06"/>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42BC"/>
    <w:rsid w:val="00384BC4"/>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14B"/>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854"/>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43BA"/>
    <w:rsid w:val="00455270"/>
    <w:rsid w:val="00455587"/>
    <w:rsid w:val="00455660"/>
    <w:rsid w:val="00456FE7"/>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1640"/>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5A88"/>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13B"/>
    <w:rsid w:val="00532144"/>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19E6"/>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BFD"/>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1A6B"/>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973"/>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0FE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6B4"/>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63D"/>
    <w:rsid w:val="00935D56"/>
    <w:rsid w:val="00936699"/>
    <w:rsid w:val="00936BB6"/>
    <w:rsid w:val="00936E42"/>
    <w:rsid w:val="00937CDB"/>
    <w:rsid w:val="00940ABC"/>
    <w:rsid w:val="009415D0"/>
    <w:rsid w:val="00941A7F"/>
    <w:rsid w:val="00941AD4"/>
    <w:rsid w:val="00942548"/>
    <w:rsid w:val="00942D29"/>
    <w:rsid w:val="00943206"/>
    <w:rsid w:val="00943276"/>
    <w:rsid w:val="00943E7F"/>
    <w:rsid w:val="009448D7"/>
    <w:rsid w:val="00944B6E"/>
    <w:rsid w:val="00944F76"/>
    <w:rsid w:val="00945E1F"/>
    <w:rsid w:val="00947011"/>
    <w:rsid w:val="009474EF"/>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3C9B"/>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327"/>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12D"/>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68"/>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3EC"/>
    <w:rsid w:val="00A82C1D"/>
    <w:rsid w:val="00A83DA7"/>
    <w:rsid w:val="00A8420D"/>
    <w:rsid w:val="00A8488B"/>
    <w:rsid w:val="00A84DC9"/>
    <w:rsid w:val="00A84FD0"/>
    <w:rsid w:val="00A8547C"/>
    <w:rsid w:val="00A85757"/>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756"/>
    <w:rsid w:val="00AF0ABF"/>
    <w:rsid w:val="00AF0E23"/>
    <w:rsid w:val="00AF31F3"/>
    <w:rsid w:val="00AF3376"/>
    <w:rsid w:val="00AF3E51"/>
    <w:rsid w:val="00AF4820"/>
    <w:rsid w:val="00AF4E22"/>
    <w:rsid w:val="00AF5198"/>
    <w:rsid w:val="00AF5633"/>
    <w:rsid w:val="00AF5654"/>
    <w:rsid w:val="00AF5731"/>
    <w:rsid w:val="00AF5810"/>
    <w:rsid w:val="00AF5A7D"/>
    <w:rsid w:val="00AF6F14"/>
    <w:rsid w:val="00AF745E"/>
    <w:rsid w:val="00B008F4"/>
    <w:rsid w:val="00B0298F"/>
    <w:rsid w:val="00B04040"/>
    <w:rsid w:val="00B040ED"/>
    <w:rsid w:val="00B04491"/>
    <w:rsid w:val="00B046C0"/>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19FA"/>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97DF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829"/>
    <w:rsid w:val="00BC0D54"/>
    <w:rsid w:val="00BC109F"/>
    <w:rsid w:val="00BC120C"/>
    <w:rsid w:val="00BC1972"/>
    <w:rsid w:val="00BC23CB"/>
    <w:rsid w:val="00BC3550"/>
    <w:rsid w:val="00BC3A48"/>
    <w:rsid w:val="00BC3A63"/>
    <w:rsid w:val="00BC4002"/>
    <w:rsid w:val="00BC4220"/>
    <w:rsid w:val="00BC5005"/>
    <w:rsid w:val="00BC5087"/>
    <w:rsid w:val="00BC68AC"/>
    <w:rsid w:val="00BC6A2E"/>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B76"/>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671"/>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A79"/>
    <w:rsid w:val="00C60026"/>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521C"/>
    <w:rsid w:val="00C909C8"/>
    <w:rsid w:val="00C90BDD"/>
    <w:rsid w:val="00C9222E"/>
    <w:rsid w:val="00C937FF"/>
    <w:rsid w:val="00C94264"/>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1B03"/>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12AA"/>
    <w:rsid w:val="00D01733"/>
    <w:rsid w:val="00D024FD"/>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1FD"/>
    <w:rsid w:val="00D43306"/>
    <w:rsid w:val="00D4417B"/>
    <w:rsid w:val="00D44F5E"/>
    <w:rsid w:val="00D45813"/>
    <w:rsid w:val="00D45B3C"/>
    <w:rsid w:val="00D46264"/>
    <w:rsid w:val="00D4631F"/>
    <w:rsid w:val="00D46C92"/>
    <w:rsid w:val="00D46CA1"/>
    <w:rsid w:val="00D475A4"/>
    <w:rsid w:val="00D476B8"/>
    <w:rsid w:val="00D47ABD"/>
    <w:rsid w:val="00D50287"/>
    <w:rsid w:val="00D50B0C"/>
    <w:rsid w:val="00D50FD2"/>
    <w:rsid w:val="00D51800"/>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2F9"/>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D93"/>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1257"/>
    <w:rsid w:val="00F6128C"/>
    <w:rsid w:val="00F61364"/>
    <w:rsid w:val="00F61B10"/>
    <w:rsid w:val="00F61ED3"/>
    <w:rsid w:val="00F62CAD"/>
    <w:rsid w:val="00F632D7"/>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44"/>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0FE3"/>
    <w:rsid w:val="00FF1A45"/>
    <w:rsid w:val="00FF1CA9"/>
    <w:rsid w:val="00FF2703"/>
    <w:rsid w:val="00FF30ED"/>
    <w:rsid w:val="00FF3273"/>
    <w:rsid w:val="00FF4403"/>
    <w:rsid w:val="00FF462A"/>
    <w:rsid w:val="00FF463B"/>
    <w:rsid w:val="00FF4C4C"/>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E75"/>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F0756"/>
    <w:rPr>
      <w:rFonts w:ascii="Arial" w:hAnsi="Arial"/>
      <w:sz w:val="22"/>
      <w:lang w:val="en-GB"/>
    </w:rPr>
  </w:style>
  <w:style w:type="character" w:styleId="Mentionnonrsolue">
    <w:name w:val="Unresolved Mention"/>
    <w:basedOn w:val="Policepardfaut"/>
    <w:uiPriority w:val="99"/>
    <w:semiHidden/>
    <w:unhideWhenUsed/>
    <w:rsid w:val="00F632D7"/>
    <w:rPr>
      <w:color w:val="605E5C"/>
      <w:shd w:val="clear" w:color="auto" w:fill="E1DFDD"/>
    </w:rPr>
  </w:style>
  <w:style w:type="character" w:customStyle="1" w:styleId="position-relative">
    <w:name w:val="position-relative"/>
    <w:basedOn w:val="Policepardfaut"/>
    <w:rsid w:val="00F632D7"/>
  </w:style>
  <w:style w:type="character" w:customStyle="1" w:styleId="badge">
    <w:name w:val="badge"/>
    <w:basedOn w:val="Policepardfaut"/>
    <w:rsid w:val="00F632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69231473">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14164278">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298223523">
      <w:bodyDiv w:val="1"/>
      <w:marLeft w:val="0"/>
      <w:marRight w:val="0"/>
      <w:marTop w:val="0"/>
      <w:marBottom w:val="0"/>
      <w:divBdr>
        <w:top w:val="none" w:sz="0" w:space="0" w:color="auto"/>
        <w:left w:val="none" w:sz="0" w:space="0" w:color="auto"/>
        <w:bottom w:val="none" w:sz="0" w:space="0" w:color="auto"/>
        <w:right w:val="none" w:sz="0" w:space="0" w:color="auto"/>
      </w:divBdr>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607620060">
      <w:bodyDiv w:val="1"/>
      <w:marLeft w:val="0"/>
      <w:marRight w:val="0"/>
      <w:marTop w:val="0"/>
      <w:marBottom w:val="0"/>
      <w:divBdr>
        <w:top w:val="none" w:sz="0" w:space="0" w:color="auto"/>
        <w:left w:val="none" w:sz="0" w:space="0" w:color="auto"/>
        <w:bottom w:val="none" w:sz="0" w:space="0" w:color="auto"/>
        <w:right w:val="none" w:sz="0" w:space="0" w:color="auto"/>
      </w:divBdr>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3490734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 w:id="211015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eses.hal.science/tel-01635248v1/documen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2</Pages>
  <Words>768</Words>
  <Characters>4230</Characters>
  <Application>Microsoft Office Word</Application>
  <DocSecurity>0</DocSecurity>
  <Lines>35</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16</cp:revision>
  <cp:lastPrinted>2016-05-03T09:51:00Z</cp:lastPrinted>
  <dcterms:created xsi:type="dcterms:W3CDTF">2024-05-14T14:26:00Z</dcterms:created>
  <dcterms:modified xsi:type="dcterms:W3CDTF">2024-05-14T19:29:00Z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